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906"/>
      </w:tblGrid>
      <w:tr>
        <w:trPr>
          <w:tblHeader w:val="false"/>
        </w:trPr>
        <w:tc>
          <w:tcPr>
            <w:tcW w:type="dxa" w:w="990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5B4A8A" w:color="auto" w:val="clear"/>
            <w:tcMar>
              <w:top w:type="dxa" w:w="130"/>
              <w:left w:type="dxa" w:w="200"/>
              <w:bottom w:type="dxa" w:w="130"/>
              <w:right w:type="dxa" w:w="200"/>
            </w:tcMar>
            <w:vAlign w:val="top"/>
          </w:tcPr>
          <w:p>
            <w:pPr>
              <w:spacing w:before="60" w:after="16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8963E"/>
                <w:sz w:val="20"/>
                <w:szCs w:val="20"/>
              </w:rPr>
              <w:t xml:space="preserve">ETUDE DE CAS N°2</w:t>
            </w:r>
          </w:p>
          <w:p>
            <w:pPr>
              <w:spacing w:before="0" w:after="1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36"/>
                <w:szCs w:val="36"/>
              </w:rPr>
              <w:t xml:space="preserve">PROJET NEODROP</w:t>
            </w:r>
          </w:p>
          <w:p>
            <w:pPr>
              <w:spacing w:before="0" w:after="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A8C4DC"/>
                <w:sz w:val="20"/>
                <w:szCs w:val="20"/>
              </w:rPr>
              <w:t xml:space="preserve">Optimisation Ligne Seringues Steriles — Dispositifs Medicaux ISO 13485</w:t>
            </w:r>
          </w:p>
        </w:tc>
      </w:tr>
    </w:tbl>
    <w:p>
      <w:pPr>
        <w:spacing w:before="80" w:after="60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76"/>
        <w:gridCol w:w="2476"/>
        <w:gridCol w:w="2476"/>
        <w:gridCol w:w="2476"/>
      </w:tblGrid>
      <w:tr>
        <w:trPr>
          <w:tblHeader w:val="false"/>
        </w:trPr>
        <w:tc>
          <w:tcPr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0D1B2A" w:color="auto" w:val="clear"/>
            <w:tcMar>
              <w:top w:type="dxa" w:w="30"/>
              <w:left w:type="dxa" w:w="50"/>
              <w:bottom w:type="dxa" w:w="30"/>
              <w:right w:type="dxa" w:w="50"/>
            </w:tcMar>
            <w:vAlign w:val="top"/>
          </w:tcPr>
          <w:p>
            <w:pPr>
              <w:spacing w:before="18" w:after="8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4"/>
                <w:szCs w:val="14"/>
              </w:rPr>
              <w:t xml:space="preserve">SECTEUR</w:t>
            </w:r>
          </w:p>
          <w:p>
            <w:pPr>
              <w:spacing w:before="0" w:after="8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6"/>
                <w:szCs w:val="26"/>
              </w:rPr>
              <w:t xml:space="preserve">Dispositifs
Medicaux</w:t>
            </w:r>
          </w:p>
          <w:p>
            <w:pPr>
              <w:spacing w:before="0" w:after="18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C8D8E8"/>
                <w:sz w:val="14"/>
                <w:szCs w:val="14"/>
              </w:rPr>
              <w:t xml:space="preserve">ISO 13485 Classe IIa</w:t>
            </w:r>
          </w:p>
        </w:tc>
        <w:tc>
          <w:tcPr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E6DA4" w:color="auto" w:val="clear"/>
            <w:tcMar>
              <w:top w:type="dxa" w:w="30"/>
              <w:left w:type="dxa" w:w="50"/>
              <w:bottom w:type="dxa" w:w="30"/>
              <w:right w:type="dxa" w:w="50"/>
            </w:tcMar>
            <w:vAlign w:val="top"/>
          </w:tcPr>
          <w:p>
            <w:pPr>
              <w:spacing w:before="18" w:after="8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4"/>
                <w:szCs w:val="14"/>
              </w:rPr>
              <w:t xml:space="preserve">DUREE</w:t>
            </w:r>
          </w:p>
          <w:p>
            <w:pPr>
              <w:spacing w:before="0" w:after="8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6"/>
                <w:szCs w:val="26"/>
              </w:rPr>
              <w:t xml:space="preserve">5 mois</w:t>
            </w:r>
          </w:p>
          <w:p>
            <w:pPr>
              <w:spacing w:before="0" w:after="18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C8D8E8"/>
                <w:sz w:val="14"/>
                <w:szCs w:val="14"/>
              </w:rPr>
              <w:t xml:space="preserve">SMED + DMAIC + Vision</w:t>
            </w:r>
          </w:p>
        </w:tc>
        <w:tc>
          <w:tcPr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C8963E" w:color="auto" w:val="clear"/>
            <w:tcMar>
              <w:top w:type="dxa" w:w="30"/>
              <w:left w:type="dxa" w:w="50"/>
              <w:bottom w:type="dxa" w:w="30"/>
              <w:right w:type="dxa" w:w="50"/>
            </w:tcMar>
            <w:vAlign w:val="top"/>
          </w:tcPr>
          <w:p>
            <w:pPr>
              <w:spacing w:before="18" w:after="8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4"/>
                <w:szCs w:val="14"/>
              </w:rPr>
              <w:t xml:space="preserve">ROI</w:t>
            </w:r>
          </w:p>
          <w:p>
            <w:pPr>
              <w:spacing w:before="0" w:after="8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6"/>
                <w:szCs w:val="26"/>
              </w:rPr>
              <w:t xml:space="preserve">ELEVE</w:t>
            </w:r>
          </w:p>
          <w:p>
            <w:pPr>
              <w:spacing w:before="0" w:after="18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C8D8E8"/>
                <w:sz w:val="14"/>
                <w:szCs w:val="14"/>
              </w:rPr>
              <w:t xml:space="preserve">Gain &gt; 300%</w:t>
            </w:r>
          </w:p>
        </w:tc>
        <w:tc>
          <w:tcPr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D7D46" w:color="auto" w:val="clear"/>
            <w:tcMar>
              <w:top w:type="dxa" w:w="30"/>
              <w:left w:type="dxa" w:w="50"/>
              <w:bottom w:type="dxa" w:w="30"/>
              <w:right w:type="dxa" w:w="50"/>
            </w:tcMar>
            <w:vAlign w:val="top"/>
          </w:tcPr>
          <w:p>
            <w:pPr>
              <w:spacing w:before="18" w:after="8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4"/>
                <w:szCs w:val="14"/>
              </w:rPr>
              <w:t xml:space="preserve">GAINS</w:t>
            </w:r>
          </w:p>
          <w:p>
            <w:pPr>
              <w:spacing w:before="0" w:after="8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6"/>
                <w:szCs w:val="26"/>
              </w:rPr>
              <w:t xml:space="preserve">450 000 euros/an</w:t>
            </w:r>
          </w:p>
          <w:p>
            <w:pPr>
              <w:spacing w:before="0" w:after="18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C8D8E8"/>
                <w:sz w:val="14"/>
                <w:szCs w:val="14"/>
              </w:rPr>
              <w:t xml:space="preserve">TRS 65% -&gt; 81%</w:t>
            </w:r>
          </w:p>
        </w:tc>
      </w:tr>
    </w:tbl>
    <w:p>
      <w:pPr>
        <w:spacing w:before="60" w:after="50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906"/>
      </w:tblGrid>
      <w:tr>
        <w:trPr>
          <w:tblHeader w:val="false"/>
        </w:trPr>
        <w:tc>
          <w:tcPr>
            <w:tcW w:type="dxa" w:w="9906"/>
            <w:tcBorders>
              <w:top w:val="none" w:sz="0" w:space="0" w:color="auto"/>
              <w:left w:val="single" w:color="5B4A8A" w:sz="14"/>
              <w:bottom w:val="none" w:sz="0" w:space="0" w:color="auto"/>
              <w:right w:val="none" w:sz="0" w:space="0" w:color="auto"/>
            </w:tcBorders>
            <w:shd w:fill="F0EBF8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pBdr>
                <w:top w:val="none" w:color="FFFFFF" w:sz="0"/>
                <w:left w:val="none" w:color="FFFFFF" w:sz="0"/>
                <w:bottom w:val="single" w:color="5B4A8A" w:sz="4"/>
                <w:right w:val="none" w:color="FFFFFF" w:sz="0"/>
              </w:pBdr>
              <w:spacing w:before="55" w:after="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5B4A8A"/>
                <w:sz w:val="20"/>
                <w:szCs w:val="20"/>
              </w:rPr>
              <w:t xml:space="preserve">SYNOPSIS — PROJET NEODROP</w:t>
            </w:r>
          </w:p>
          <w:p>
            <w:pPr>
              <w:spacing w:before="30" w:after="55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9"/>
                <w:szCs w:val="19"/>
              </w:rPr>
              <w:t xml:space="preserve">MediInject Solutions est un fabricant de dispositifs medicaux (Classe IIa) produisant des seringues de 5ml avec aiguilles serties. Confrontee a une hausse de demande de 25% avec un taux de rebut de 8% et des delais instables, l entreprise mandate un consultant pour optimiser sa ligne sans modifier le design produit (contrainte reglementaire : eviter une re-certification ISO 13485). Ce cas illustre l application du SMED, du DMAIC Six Sigma et du Poka-Yoke dans un contexte ou la conformite reglementaire est aussi critique que la performance.</w:t>
            </w:r>
          </w:p>
        </w:tc>
      </w:tr>
    </w:tbl>
    <w:p>
      <w:pPr>
        <w:spacing w:before="30" w:after="24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906"/>
      </w:tblGrid>
      <w:tr>
        <w:trPr>
          <w:tblHeader w:val="false"/>
        </w:trPr>
        <w:tc>
          <w:tcPr>
            <w:tcW w:type="dxa" w:w="990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5B4A8A" w:color="auto" w:val="clear"/>
            <w:tcMar>
              <w:top w:type="dxa" w:w="55"/>
              <w:left w:type="dxa" w:w="140"/>
              <w:bottom w:type="dxa" w:w="55"/>
              <w:right w:type="dxa" w:w="100"/>
            </w:tcMar>
            <w:vAlign w:val="top"/>
          </w:tcPr>
          <w:p>
            <w:pPr>
              <w:spacing w:before="65" w:after="65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1"/>
                <w:szCs w:val="21"/>
              </w:rPr>
              <w:t xml:space="preserve">  CONTRAINTE SPECIFIQUE : ENVIRONNEMENT ISO 13485 ET SALLE BLANCHE</w:t>
            </w:r>
          </w:p>
        </w:tc>
      </w:tr>
    </w:tbl>
    <w:p>
      <w:pPr>
        <w:spacing w:before="14" w:after="10"/>
      </w:pPr>
    </w:p>
    <w:p>
      <w:pPr>
        <w:spacing w:before="70" w:after="7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1"/>
          <w:szCs w:val="21"/>
        </w:rPr>
        <w:t xml:space="preserve">Le secteur des dispositifs medicaux impose des contraintes particulieres qui changent radicalement la posture du consultant. Chaque action technique doit etre validee par le service Qualite avant implementation. Toute modification d un parametre de reglage SMED doit etre documentee dans le systeme qualite (Change Control). Cette contrainte n est pas un frein : c est une discipline qui renforce la perennite des ameliorations.</w:t>
      </w:r>
    </w:p>
    <w:p>
      <w:pPr>
        <w:spacing w:before="14" w:after="10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68"/>
        <w:gridCol w:w="3268"/>
        <w:gridCol w:w="3370"/>
      </w:tblGrid>
      <w:tr>
        <w:trPr>
          <w:tblHeader/>
        </w:trPr>
        <w:tc>
          <w:tcPr>
            <w:tcW w:type="dxa" w:w="3268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5B4A8A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CONTRAINTE ISO 13485</w:t>
            </w:r>
          </w:p>
        </w:tc>
        <w:tc>
          <w:tcPr>
            <w:tcW w:type="dxa" w:w="3268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5B4A8A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IMPACT SUR LA MISSION</w:t>
            </w:r>
          </w:p>
        </w:tc>
        <w:tc>
          <w:tcPr>
            <w:tcW w:type="dxa" w:w="3370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5B4A8A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ADAPTATION DU CONSULTANT</w:t>
            </w:r>
          </w:p>
        </w:tc>
      </w:tr>
      <w:tr>
        <w:trPr>
          <w:tblHeader w:val="false"/>
        </w:trPr>
        <w:tc>
          <w:tcPr>
            <w:tcW w:type="dxa" w:w="3268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Change Control obligatoire</w:t>
            </w:r>
          </w:p>
        </w:tc>
        <w:tc>
          <w:tcPr>
            <w:tcW w:type="dxa" w:w="3268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Toute modification reglage = dossier de validation</w:t>
            </w:r>
          </w:p>
        </w:tc>
        <w:tc>
          <w:tcPr>
            <w:tcW w:type="dxa" w:w="3370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Integrer le Responsable Qualite des le J2 du chantier</w:t>
            </w:r>
          </w:p>
        </w:tc>
      </w:tr>
      <w:tr>
        <w:trPr>
          <w:tblHeader w:val="false"/>
        </w:trPr>
        <w:tc>
          <w:tcPr>
            <w:tcW w:type="dxa" w:w="3268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Salle blanche classe ISO 8</w:t>
            </w:r>
          </w:p>
        </w:tc>
        <w:tc>
          <w:tcPr>
            <w:tcW w:type="dxa" w:w="3268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EPI obligatoires, flux matieres controles</w:t>
            </w:r>
          </w:p>
        </w:tc>
        <w:tc>
          <w:tcPr>
            <w:tcW w:type="dxa" w:w="3370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Gemba Walk en combinaison, photos limitees</w:t>
            </w:r>
          </w:p>
        </w:tc>
      </w:tr>
      <w:tr>
        <w:trPr>
          <w:tblHeader w:val="false"/>
        </w:trPr>
        <w:tc>
          <w:tcPr>
            <w:tcW w:type="dxa" w:w="3268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Design Freeze (pas de modif. produit)</w:t>
            </w:r>
          </w:p>
        </w:tc>
        <w:tc>
          <w:tcPr>
            <w:tcW w:type="dxa" w:w="3268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Impossible de changer la forme de la seringue</w:t>
            </w:r>
          </w:p>
        </w:tc>
        <w:tc>
          <w:tcPr>
            <w:tcW w:type="dxa" w:w="3370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Agir uniquement sur le process, pas le produit</w:t>
            </w:r>
          </w:p>
        </w:tc>
      </w:tr>
      <w:tr>
        <w:trPr>
          <w:tblHeader w:val="false"/>
        </w:trPr>
        <w:tc>
          <w:tcPr>
            <w:tcW w:type="dxa" w:w="3268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Ppk minimum requis = 1.33</w:t>
            </w:r>
          </w:p>
        </w:tc>
        <w:tc>
          <w:tcPr>
            <w:tcW w:type="dxa" w:w="3268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Process doit etre statistiquement maitrise</w:t>
            </w:r>
          </w:p>
        </w:tc>
        <w:tc>
          <w:tcPr>
            <w:tcW w:type="dxa" w:w="3370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DMAIC obligatoire, pas de simple Kaizen</w:t>
            </w:r>
          </w:p>
        </w:tc>
      </w:tr>
    </w:tbl>
    <w:p>
      <w:pPr>
        <w:spacing w:before="50" w:after="40"/>
      </w:pPr>
    </w:p>
    <w:p>
      <w:pPr>
        <w:spacing w:before="0" w:after="0"/>
      </w:pPr>
      <w:r>
        <w:br w:type="page"/>
      </w: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94"/>
        <w:gridCol w:w="9312"/>
      </w:tblGrid>
      <w:tr>
        <w:trPr>
          <w:tblHeader w:val="false"/>
        </w:trPr>
        <w:tc>
          <w:tcPr>
            <w:tcW w:type="dxa" w:w="594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5B4A8A" w:color="auto" w:val="clear"/>
            <w:tcMar>
              <w:top w:type="dxa" w:w="50"/>
              <w:left w:type="dxa" w:w="40"/>
              <w:bottom w:type="dxa" w:w="50"/>
              <w:right w:type="dxa" w:w="40"/>
            </w:tcMar>
            <w:vAlign w:val="top"/>
          </w:tcPr>
          <w:p>
            <w:pPr>
              <w:spacing w:before="60" w:after="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PHASE 1</w:t>
            </w:r>
          </w:p>
        </w:tc>
        <w:tc>
          <w:tcPr>
            <w:tcW w:type="dxa" w:w="9312"/>
            <w:tcBorders>
              <w:top w:val="none" w:sz="0" w:space="0" w:color="auto"/>
              <w:left w:val="single" w:color="5B4A8A" w:sz="10"/>
              <w:bottom w:val="none" w:sz="0" w:space="0" w:color="auto"/>
              <w:right w:val="none" w:sz="0" w:space="0" w:color="auto"/>
            </w:tcBorders>
            <w:shd w:fill="F4F6F9" w:color="auto" w:val="clear"/>
            <w:tcMar>
              <w:top w:type="dxa" w:w="50"/>
              <w:left w:type="dxa" w:w="140"/>
              <w:bottom w:type="dxa" w:w="50"/>
              <w:right w:type="dxa" w:w="80"/>
            </w:tcMar>
            <w:vAlign w:val="top"/>
          </w:tcPr>
          <w:p>
            <w:pPr>
              <w:spacing w:before="60" w:after="6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5B4A8A"/>
                <w:sz w:val="20"/>
                <w:szCs w:val="20"/>
              </w:rPr>
              <w:t xml:space="preserve">CADRAGE ET APPROCHE OUT OF THE BOX  (Partie 1)</w:t>
            </w:r>
          </w:p>
        </w:tc>
      </w:tr>
    </w:tbl>
    <w:p>
      <w:pPr>
        <w:spacing w:before="24" w:after="18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79"/>
        <w:gridCol w:w="7727"/>
      </w:tblGrid>
      <w:tr>
        <w:trPr>
          <w:tblHeader w:val="false"/>
        </w:trPr>
        <w:tc>
          <w:tcPr>
            <w:tcW w:type="dxa" w:w="2179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5B4A8A" w:color="auto" w:val="clear"/>
            <w:tcMar>
              <w:top w:type="dxa" w:w="40"/>
              <w:left w:type="dxa" w:w="60"/>
              <w:bottom w:type="dxa" w:w="40"/>
              <w:right w:type="dxa" w:w="6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ETAPE 1</w:t>
            </w:r>
          </w:p>
        </w:tc>
        <w:tc>
          <w:tcPr>
            <w:tcW w:type="dxa" w:w="7727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3A5C" w:color="auto" w:val="clear"/>
            <w:tcMar>
              <w:top w:type="dxa" w:w="40"/>
              <w:left w:type="dxa" w:w="120"/>
              <w:bottom w:type="dxa" w:w="40"/>
              <w:right w:type="dxa" w:w="80"/>
            </w:tcMar>
            <w:vAlign w:val="top"/>
          </w:tcPr>
          <w:p>
            <w:pPr>
              <w:spacing w:before="50" w:after="5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Reformulation du besoin reel  (Chapitre 1)</w:t>
            </w:r>
          </w:p>
        </w:tc>
      </w:tr>
    </w:tbl>
    <w:p>
      <w:pPr>
        <w:spacing w:before="14" w:after="10"/>
      </w:pPr>
    </w:p>
    <w:p>
      <w:pPr>
        <w:spacing w:before="70" w:after="7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1"/>
          <w:szCs w:val="21"/>
        </w:rPr>
        <w:t xml:space="preserve">La demande initiale du Directeur de Production : augmenter la capacite face a une hausse de demande de 25%. Reflexe classique de la direction : acheter une nouvelle machine. Le consultant propose d abord un diagnostic Flash de 3 jours avant tout investissement.</w:t>
      </w:r>
    </w:p>
    <w:p>
      <w:pPr>
        <w:spacing w:before="10" w:after="8"/>
      </w:pPr>
    </w:p>
    <w:p>
      <w:pPr>
        <w:spacing w:before="40" w:after="40"/>
        <w:ind w:left="20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0"/>
          <w:szCs w:val="20"/>
        </w:rPr>
        <w:t xml:space="preserve">•  Demande explicite : achat d une nouvelle ligne de production</w:t>
      </w:r>
    </w:p>
    <w:p>
      <w:pPr>
        <w:spacing w:before="40" w:after="40"/>
        <w:ind w:left="20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0"/>
          <w:szCs w:val="20"/>
        </w:rPr>
        <w:t xml:space="preserve">•  Realite diagnostiquee : le goulot n est pas l assemblage, mais l etape de sterilisation a l oxyde d ethylene</w:t>
      </w:r>
    </w:p>
    <w:p>
      <w:pPr>
        <w:spacing w:before="40" w:after="40"/>
        <w:ind w:left="20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0"/>
          <w:szCs w:val="20"/>
        </w:rPr>
        <w:t xml:space="preserve">•  TRS actuel : 65% alors que l optimum du process existant permettrait d atteindre 78-80%</w:t>
      </w:r>
    </w:p>
    <w:p>
      <w:pPr>
        <w:spacing w:before="40" w:after="40"/>
        <w:ind w:left="20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0"/>
          <w:szCs w:val="20"/>
        </w:rPr>
        <w:t xml:space="preserve">•  Rebut de 8% sur le sertissage d aiguille : la nouvelle machine n aurait pas resolu ce probleme</w:t>
      </w:r>
    </w:p>
    <w:p>
      <w:pPr>
        <w:spacing w:before="10" w:after="8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906"/>
      </w:tblGrid>
      <w:tr>
        <w:trPr>
          <w:tblHeader w:val="false"/>
        </w:trPr>
        <w:tc>
          <w:tcPr>
            <w:tcW w:type="dxa" w:w="9906"/>
            <w:tcBorders>
              <w:top w:val="none" w:sz="0" w:space="0" w:color="auto"/>
              <w:left w:val="single" w:color="C53030" w:sz="10"/>
              <w:bottom w:val="none" w:sz="0" w:space="0" w:color="auto"/>
              <w:right w:val="none" w:sz="0" w:space="0" w:color="auto"/>
            </w:tcBorders>
            <w:shd w:fill="FDEDEC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5" w:after="55"/>
              <w:jc w:val="both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53030"/>
                <w:sz w:val="19"/>
                <w:szCs w:val="19"/>
              </w:rPr>
              <w:t xml:space="preserve">POINT CLE :  </w:t>
            </w: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8"/>
                <w:szCs w:val="18"/>
              </w:rPr>
              <w:t xml:space="preserve">La demande d achat d une nouvelle machine aurait ete une reponse a la mauvaise question. Le diagnostic Flash a evite un investissement de 400 000 euros inutile. C est le ROI du cadrage rigoureux.</w:t>
            </w:r>
          </w:p>
        </w:tc>
      </w:tr>
    </w:tbl>
    <w:p>
      <w:pPr>
        <w:spacing w:before="14" w:after="10"/>
      </w:pPr>
    </w:p>
    <w:p>
      <w:pPr>
        <w:spacing w:before="70" w:after="7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1"/>
          <w:szCs w:val="21"/>
        </w:rPr>
        <w:t xml:space="preserve">Le Project Charter fixe des objectifs precis et atteignables sans modifier le design produit (contrainte reglementaire absolue) :</w:t>
      </w:r>
    </w:p>
    <w:p>
      <w:pPr>
        <w:spacing w:before="10" w:after="8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76"/>
        <w:gridCol w:w="2476"/>
        <w:gridCol w:w="2476"/>
        <w:gridCol w:w="2478"/>
      </w:tblGrid>
      <w:tr>
        <w:trPr>
          <w:tblHeader/>
        </w:trPr>
        <w:tc>
          <w:tcPr>
            <w:tcW w:type="dxa" w:w="2476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5B4A8A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INDICATEUR</w:t>
            </w:r>
          </w:p>
        </w:tc>
        <w:tc>
          <w:tcPr>
            <w:tcW w:type="dxa" w:w="2476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5B4A8A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VALEUR INITIALE</w:t>
            </w:r>
          </w:p>
        </w:tc>
        <w:tc>
          <w:tcPr>
            <w:tcW w:type="dxa" w:w="2476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5B4A8A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OBJECTIF</w:t>
            </w:r>
          </w:p>
        </w:tc>
        <w:tc>
          <w:tcPr>
            <w:tcW w:type="dxa" w:w="2478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5B4A8A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CONTRAINTE ISO 13485</w:t>
            </w:r>
          </w:p>
        </w:tc>
      </w:tr>
      <w:tr>
        <w:trPr>
          <w:tblHeader w:val="false"/>
        </w:trPr>
        <w:tc>
          <w:tcPr>
            <w:tcW w:type="dxa" w:w="2476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35" w:after="35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7"/>
                <w:szCs w:val="17"/>
              </w:rPr>
              <w:t xml:space="preserve">TRS / OEE ligne</w:t>
            </w:r>
          </w:p>
        </w:tc>
        <w:tc>
          <w:tcPr>
            <w:tcW w:type="dxa" w:w="2476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DEDEC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35" w:after="35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C53030"/>
                <w:sz w:val="18"/>
                <w:szCs w:val="18"/>
              </w:rPr>
              <w:t xml:space="preserve">65%</w:t>
            </w:r>
          </w:p>
        </w:tc>
        <w:tc>
          <w:tcPr>
            <w:tcW w:type="dxa" w:w="2476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EBF5EB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35" w:after="35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2D7D46"/>
                <w:sz w:val="18"/>
                <w:szCs w:val="18"/>
              </w:rPr>
              <w:t xml:space="preserve">&gt; 78%</w:t>
            </w:r>
          </w:p>
        </w:tc>
        <w:tc>
          <w:tcPr>
            <w:tcW w:type="dxa" w:w="2478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35" w:after="35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6"/>
                <w:szCs w:val="16"/>
              </w:rPr>
              <w:t xml:space="preserve">Validation Qualite de chaque action</w:t>
            </w:r>
          </w:p>
        </w:tc>
      </w:tr>
      <w:tr>
        <w:trPr>
          <w:tblHeader w:val="false"/>
        </w:trPr>
        <w:tc>
          <w:tcPr>
            <w:tcW w:type="dxa" w:w="2476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35" w:after="35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7"/>
                <w:szCs w:val="17"/>
              </w:rPr>
              <w:t xml:space="preserve">Taux de rebut sertissage</w:t>
            </w:r>
          </w:p>
        </w:tc>
        <w:tc>
          <w:tcPr>
            <w:tcW w:type="dxa" w:w="2476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DEDEC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35" w:after="35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C53030"/>
                <w:sz w:val="18"/>
                <w:szCs w:val="18"/>
              </w:rPr>
              <w:t xml:space="preserve">8%</w:t>
            </w:r>
          </w:p>
        </w:tc>
        <w:tc>
          <w:tcPr>
            <w:tcW w:type="dxa" w:w="2476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EBF5EB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35" w:after="35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2D7D46"/>
                <w:sz w:val="18"/>
                <w:szCs w:val="18"/>
              </w:rPr>
              <w:t xml:space="preserve">&lt; 2%</w:t>
            </w:r>
          </w:p>
        </w:tc>
        <w:tc>
          <w:tcPr>
            <w:tcW w:type="dxa" w:w="2478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35" w:after="35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6"/>
                <w:szCs w:val="16"/>
              </w:rPr>
              <w:t xml:space="preserve">Ppk &gt; 1.33 requis ISO 13485</w:t>
            </w:r>
          </w:p>
        </w:tc>
      </w:tr>
      <w:tr>
        <w:trPr>
          <w:tblHeader w:val="false"/>
        </w:trPr>
        <w:tc>
          <w:tcPr>
            <w:tcW w:type="dxa" w:w="2476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35" w:after="35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7"/>
                <w:szCs w:val="17"/>
              </w:rPr>
              <w:t xml:space="preserve">Temps changement format</w:t>
            </w:r>
          </w:p>
        </w:tc>
        <w:tc>
          <w:tcPr>
            <w:tcW w:type="dxa" w:w="2476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DEDEC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35" w:after="35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C53030"/>
                <w:sz w:val="18"/>
                <w:szCs w:val="18"/>
              </w:rPr>
              <w:t xml:space="preserve">4 heures</w:t>
            </w:r>
          </w:p>
        </w:tc>
        <w:tc>
          <w:tcPr>
            <w:tcW w:type="dxa" w:w="2476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EBF5EB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35" w:after="35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2D7D46"/>
                <w:sz w:val="18"/>
                <w:szCs w:val="18"/>
              </w:rPr>
              <w:t xml:space="preserve">&lt; 45 min</w:t>
            </w:r>
          </w:p>
        </w:tc>
        <w:tc>
          <w:tcPr>
            <w:tcW w:type="dxa" w:w="2478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35" w:after="35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6"/>
                <w:szCs w:val="16"/>
              </w:rPr>
              <w:t xml:space="preserve">Change Control dossier requis</w:t>
            </w:r>
          </w:p>
        </w:tc>
      </w:tr>
    </w:tbl>
    <w:p>
      <w:pPr>
        <w:spacing w:before="50" w:after="40"/>
      </w:pPr>
    </w:p>
    <w:p>
      <w:pPr>
        <w:spacing w:before="0" w:after="0"/>
      </w:pPr>
      <w:r>
        <w:br w:type="page"/>
      </w: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94"/>
        <w:gridCol w:w="9312"/>
      </w:tblGrid>
      <w:tr>
        <w:trPr>
          <w:tblHeader w:val="false"/>
        </w:trPr>
        <w:tc>
          <w:tcPr>
            <w:tcW w:type="dxa" w:w="594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E6DA4" w:color="auto" w:val="clear"/>
            <w:tcMar>
              <w:top w:type="dxa" w:w="50"/>
              <w:left w:type="dxa" w:w="40"/>
              <w:bottom w:type="dxa" w:w="50"/>
              <w:right w:type="dxa" w:w="40"/>
            </w:tcMar>
            <w:vAlign w:val="top"/>
          </w:tcPr>
          <w:p>
            <w:pPr>
              <w:spacing w:before="60" w:after="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PHASE 2</w:t>
            </w:r>
          </w:p>
        </w:tc>
        <w:tc>
          <w:tcPr>
            <w:tcW w:type="dxa" w:w="9312"/>
            <w:tcBorders>
              <w:top w:val="none" w:sz="0" w:space="0" w:color="auto"/>
              <w:left w:val="single" w:color="2E6DA4" w:sz="10"/>
              <w:bottom w:val="none" w:sz="0" w:space="0" w:color="auto"/>
              <w:right w:val="none" w:sz="0" w:space="0" w:color="auto"/>
            </w:tcBorders>
            <w:shd w:fill="F4F6F9" w:color="auto" w:val="clear"/>
            <w:tcMar>
              <w:top w:type="dxa" w:w="50"/>
              <w:left w:type="dxa" w:w="140"/>
              <w:bottom w:type="dxa" w:w="50"/>
              <w:right w:type="dxa" w:w="80"/>
            </w:tcMar>
            <w:vAlign w:val="top"/>
          </w:tcPr>
          <w:p>
            <w:pPr>
              <w:spacing w:before="60" w:after="6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E6DA4"/>
                <w:sz w:val="20"/>
                <w:szCs w:val="20"/>
              </w:rPr>
              <w:t xml:space="preserve">DIAGNOSTIC ET IMMERSION EN SALLE BLANCHE  (Partie 2)</w:t>
            </w:r>
          </w:p>
        </w:tc>
      </w:tr>
    </w:tbl>
    <w:p>
      <w:pPr>
        <w:spacing w:before="24" w:after="18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79"/>
        <w:gridCol w:w="7727"/>
      </w:tblGrid>
      <w:tr>
        <w:trPr>
          <w:tblHeader w:val="false"/>
        </w:trPr>
        <w:tc>
          <w:tcPr>
            <w:tcW w:type="dxa" w:w="2179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E6DA4" w:color="auto" w:val="clear"/>
            <w:tcMar>
              <w:top w:type="dxa" w:w="40"/>
              <w:left w:type="dxa" w:w="60"/>
              <w:bottom w:type="dxa" w:w="40"/>
              <w:right w:type="dxa" w:w="6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ETAPE 2</w:t>
            </w:r>
          </w:p>
        </w:tc>
        <w:tc>
          <w:tcPr>
            <w:tcW w:type="dxa" w:w="7727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3A5C" w:color="auto" w:val="clear"/>
            <w:tcMar>
              <w:top w:type="dxa" w:w="40"/>
              <w:left w:type="dxa" w:w="120"/>
              <w:bottom w:type="dxa" w:w="40"/>
              <w:right w:type="dxa" w:w="80"/>
            </w:tcMar>
            <w:vAlign w:val="top"/>
          </w:tcPr>
          <w:p>
            <w:pPr>
              <w:spacing w:before="50" w:after="5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Gemba Walk en salle blanche et VSM  (Chapitre 4)</w:t>
            </w:r>
          </w:p>
        </w:tc>
      </w:tr>
    </w:tbl>
    <w:p>
      <w:pPr>
        <w:spacing w:before="14" w:after="10"/>
      </w:pPr>
    </w:p>
    <w:p>
      <w:pPr>
        <w:spacing w:before="70" w:after="7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1"/>
          <w:szCs w:val="21"/>
        </w:rPr>
        <w:t xml:space="preserve">L immersion terrain en salle blanche pose des contraintes specifiques : combinaison, charlotte, gants. Le consultant ne peut pas utiliser toutes ses methodes habituelles. Il adapte sa Fiche Gemba et sa methode de chronometrage.</w:t>
      </w:r>
    </w:p>
    <w:p>
      <w:pPr>
        <w:spacing w:before="10" w:after="8"/>
      </w:pPr>
    </w:p>
    <w:p>
      <w:pPr>
        <w:spacing w:before="70" w:after="7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1"/>
          <w:szCs w:val="21"/>
        </w:rPr>
        <w:t xml:space="preserve">La VSM revele une surprenante : le goulot n est pas ou tout le monde le pensait.</w:t>
      </w:r>
    </w:p>
    <w:p>
      <w:pPr>
        <w:spacing w:before="10" w:after="8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76"/>
        <w:gridCol w:w="2476"/>
        <w:gridCol w:w="2476"/>
        <w:gridCol w:w="2478"/>
      </w:tblGrid>
      <w:tr>
        <w:trPr>
          <w:tblHeader/>
        </w:trPr>
        <w:tc>
          <w:tcPr>
            <w:tcW w:type="dxa" w:w="2476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2E6DA4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ETAPE DU FLUX</w:t>
            </w:r>
          </w:p>
        </w:tc>
        <w:tc>
          <w:tcPr>
            <w:tcW w:type="dxa" w:w="2476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2E6DA4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TEMPS D'ATTENTE</w:t>
            </w:r>
          </w:p>
        </w:tc>
        <w:tc>
          <w:tcPr>
            <w:tcW w:type="dxa" w:w="2476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2E6DA4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CAPACITE / HEURE</w:t>
            </w:r>
          </w:p>
        </w:tc>
        <w:tc>
          <w:tcPr>
            <w:tcW w:type="dxa" w:w="2478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2E6DA4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GOULOT ?</w:t>
            </w:r>
          </w:p>
        </w:tc>
      </w:tr>
      <w:tr>
        <w:trPr>
          <w:tblHeader w:val="false"/>
        </w:trPr>
        <w:tc>
          <w:tcPr>
            <w:tcW w:type="dxa" w:w="2476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Assemblage seringue</w:t>
            </w:r>
          </w:p>
        </w:tc>
        <w:tc>
          <w:tcPr>
            <w:tcW w:type="dxa" w:w="2476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30 min</w:t>
            </w:r>
          </w:p>
        </w:tc>
        <w:tc>
          <w:tcPr>
            <w:tcW w:type="dxa" w:w="2476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320 unites/h</w:t>
            </w:r>
          </w:p>
        </w:tc>
        <w:tc>
          <w:tcPr>
            <w:tcW w:type="dxa" w:w="2478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Non</w:t>
            </w:r>
          </w:p>
        </w:tc>
      </w:tr>
      <w:tr>
        <w:trPr>
          <w:tblHeader w:val="false"/>
        </w:trPr>
        <w:tc>
          <w:tcPr>
            <w:tcW w:type="dxa" w:w="2476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Controle sertissage</w:t>
            </w:r>
          </w:p>
        </w:tc>
        <w:tc>
          <w:tcPr>
            <w:tcW w:type="dxa" w:w="2476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45 min</w:t>
            </w:r>
          </w:p>
        </w:tc>
        <w:tc>
          <w:tcPr>
            <w:tcW w:type="dxa" w:w="2476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280 unites/h</w:t>
            </w:r>
          </w:p>
        </w:tc>
        <w:tc>
          <w:tcPr>
            <w:tcW w:type="dxa" w:w="2478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Non</w:t>
            </w:r>
          </w:p>
        </w:tc>
      </w:tr>
      <w:tr>
        <w:trPr>
          <w:tblHeader w:val="false"/>
        </w:trPr>
        <w:tc>
          <w:tcPr>
            <w:tcW w:type="dxa" w:w="2476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Emballage primaire</w:t>
            </w:r>
          </w:p>
        </w:tc>
        <w:tc>
          <w:tcPr>
            <w:tcW w:type="dxa" w:w="2476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20 min</w:t>
            </w:r>
          </w:p>
        </w:tc>
        <w:tc>
          <w:tcPr>
            <w:tcW w:type="dxa" w:w="2476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350 unites/h</w:t>
            </w:r>
          </w:p>
        </w:tc>
        <w:tc>
          <w:tcPr>
            <w:tcW w:type="dxa" w:w="2478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Non</w:t>
            </w:r>
          </w:p>
        </w:tc>
      </w:tr>
      <w:tr>
        <w:trPr>
          <w:tblHeader w:val="false"/>
        </w:trPr>
        <w:tc>
          <w:tcPr>
            <w:tcW w:type="dxa" w:w="2476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STERILISATION OEthylene</w:t>
            </w:r>
          </w:p>
        </w:tc>
        <w:tc>
          <w:tcPr>
            <w:tcW w:type="dxa" w:w="2476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72 heures</w:t>
            </w:r>
          </w:p>
        </w:tc>
        <w:tc>
          <w:tcPr>
            <w:tcW w:type="dxa" w:w="2476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180 unites/h</w:t>
            </w:r>
          </w:p>
        </w:tc>
        <w:tc>
          <w:tcPr>
            <w:tcW w:type="dxa" w:w="2478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OUI - GOULOT PRINCIPAL</w:t>
            </w:r>
          </w:p>
        </w:tc>
      </w:tr>
      <w:tr>
        <w:trPr>
          <w:tblHeader w:val="false"/>
        </w:trPr>
        <w:tc>
          <w:tcPr>
            <w:tcW w:type="dxa" w:w="2476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Liberation Qualite</w:t>
            </w:r>
          </w:p>
        </w:tc>
        <w:tc>
          <w:tcPr>
            <w:tcW w:type="dxa" w:w="2476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5 jours</w:t>
            </w:r>
          </w:p>
        </w:tc>
        <w:tc>
          <w:tcPr>
            <w:tcW w:type="dxa" w:w="2476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Variable</w:t>
            </w:r>
          </w:p>
        </w:tc>
        <w:tc>
          <w:tcPr>
            <w:tcW w:type="dxa" w:w="2478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Goulot secondaire</w:t>
            </w:r>
          </w:p>
        </w:tc>
      </w:tr>
    </w:tbl>
    <w:p>
      <w:pPr>
        <w:spacing w:before="14" w:after="10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906"/>
      </w:tblGrid>
      <w:tr>
        <w:trPr>
          <w:tblHeader w:val="false"/>
        </w:trPr>
        <w:tc>
          <w:tcPr>
            <w:tcW w:type="dxa" w:w="9906"/>
            <w:tcBorders>
              <w:top w:val="none" w:sz="0" w:space="0" w:color="auto"/>
              <w:left w:val="single" w:color="C53030" w:sz="10"/>
              <w:bottom w:val="none" w:sz="0" w:space="0" w:color="auto"/>
              <w:right w:val="none" w:sz="0" w:space="0" w:color="auto"/>
            </w:tcBorders>
            <w:shd w:fill="FDEDEC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5" w:after="55"/>
              <w:jc w:val="both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53030"/>
                <w:sz w:val="19"/>
                <w:szCs w:val="19"/>
              </w:rPr>
              <w:t xml:space="preserve">POINT CLE :  </w:t>
            </w: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8"/>
                <w:szCs w:val="18"/>
              </w:rPr>
              <w:t xml:space="preserve">Le goulot est la sterilisation, pas l assemblage. Acheter une nouvelle machine d assemblage n aurait eu aucun effet sur la capacite livrable. Cette decouverte justifie a elle seule le cout du diagnostic Flash.</w:t>
            </w:r>
          </w:p>
        </w:tc>
      </w:tr>
    </w:tbl>
    <w:p>
      <w:pPr>
        <w:spacing w:before="14" w:after="10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79"/>
        <w:gridCol w:w="7727"/>
      </w:tblGrid>
      <w:tr>
        <w:trPr>
          <w:tblHeader w:val="false"/>
        </w:trPr>
        <w:tc>
          <w:tcPr>
            <w:tcW w:type="dxa" w:w="2179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E6DA4" w:color="auto" w:val="clear"/>
            <w:tcMar>
              <w:top w:type="dxa" w:w="40"/>
              <w:left w:type="dxa" w:w="60"/>
              <w:bottom w:type="dxa" w:w="40"/>
              <w:right w:type="dxa" w:w="6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ETAPE 3</w:t>
            </w:r>
          </w:p>
        </w:tc>
        <w:tc>
          <w:tcPr>
            <w:tcW w:type="dxa" w:w="7727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3A5C" w:color="auto" w:val="clear"/>
            <w:tcMar>
              <w:top w:type="dxa" w:w="40"/>
              <w:left w:type="dxa" w:w="120"/>
              <w:bottom w:type="dxa" w:w="40"/>
              <w:right w:type="dxa" w:w="80"/>
            </w:tcMar>
            <w:vAlign w:val="top"/>
          </w:tcPr>
          <w:p>
            <w:pPr>
              <w:spacing w:before="50" w:after="5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Analyse capabilite et diagnostic Six Sigma  (Chapitre 5 et 6)</w:t>
            </w:r>
          </w:p>
        </w:tc>
      </w:tr>
    </w:tbl>
    <w:p>
      <w:pPr>
        <w:spacing w:before="14" w:after="10"/>
      </w:pPr>
    </w:p>
    <w:p>
      <w:pPr>
        <w:spacing w:before="70" w:after="7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1"/>
          <w:szCs w:val="21"/>
        </w:rPr>
        <w:t xml:space="preserve">L analyse Ishikawa sur les defauts de sertissage pointe deux facteurs critiques. Une etude de capabilite (Ppk) sur la force d arrachement de l aiguille confirme que le procede n est pas statistiquement maitrise.</w:t>
      </w:r>
    </w:p>
    <w:p>
      <w:pPr>
        <w:spacing w:before="10" w:after="8"/>
      </w:pPr>
    </w:p>
    <w:p>
      <w:pPr>
        <w:spacing w:before="40" w:after="40"/>
        <w:ind w:left="20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0"/>
          <w:szCs w:val="20"/>
        </w:rPr>
        <w:t xml:space="preserve">•  Ppk = 0.85 sur la force d arrachement (ISO 13485 exige Ppk &gt;= 1.33 pour caracteristiques critiques)</w:t>
      </w:r>
    </w:p>
    <w:p>
      <w:pPr>
        <w:spacing w:before="40" w:after="40"/>
        <w:ind w:left="20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0"/>
          <w:szCs w:val="20"/>
        </w:rPr>
        <w:t xml:space="preserve">•  Cause principale (62% des defauts) : pression de sertissage variable selon les lots de matiere</w:t>
      </w:r>
    </w:p>
    <w:p>
      <w:pPr>
        <w:spacing w:before="40" w:after="40"/>
        <w:ind w:left="20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0"/>
          <w:szCs w:val="20"/>
        </w:rPr>
        <w:t xml:space="preserve">•  Cause secondaire (23% des defauts) : temperature de la pince non controllee en debut de poste</w:t>
      </w:r>
    </w:p>
    <w:p>
      <w:pPr>
        <w:spacing w:before="10" w:after="8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906"/>
      </w:tblGrid>
      <w:tr>
        <w:trPr>
          <w:tblHeader w:val="false"/>
        </w:trPr>
        <w:tc>
          <w:tcPr>
            <w:tcW w:type="dxa" w:w="9906"/>
            <w:tcBorders>
              <w:top w:val="none" w:sz="0" w:space="0" w:color="auto"/>
              <w:left w:val="single" w:color="2E6DA4" w:sz="14"/>
              <w:bottom w:val="none" w:sz="0" w:space="0" w:color="auto"/>
              <w:right w:val="none" w:sz="0" w:space="0" w:color="auto"/>
            </w:tcBorders>
            <w:shd w:fill="D6E8F7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pBdr>
                <w:top w:val="none" w:color="FFFFFF" w:sz="0"/>
                <w:left w:val="none" w:color="FFFFFF" w:sz="0"/>
                <w:bottom w:val="single" w:color="2E6DA4" w:sz="4"/>
                <w:right w:val="none" w:color="FFFFFF" w:sz="0"/>
              </w:pBdr>
              <w:spacing w:before="55" w:after="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E6DA4"/>
                <w:sz w:val="20"/>
                <w:szCs w:val="20"/>
              </w:rPr>
              <w:t xml:space="preserve">APPROCHE DMAIC OBLIGATOIRE</w:t>
            </w:r>
          </w:p>
          <w:p>
            <w:pPr>
              <w:spacing w:before="30" w:after="55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9"/>
                <w:szCs w:val="19"/>
              </w:rPr>
              <w:t xml:space="preserve">Avec un Ppk = 0.85 et une caracteristique CTQ (Critical to Quality) en ISO 13485, un simple Kaizen Blitz est insuffisant. La methodologie DMAIC Six Sigma s impose pour : (1) mesurer rigoureusement la variabilite actuelle, (2) identifier les facteurs d influence par un DOE, (3) definir des plages de reglage validees statistiquement, (4) mettre sous controle SPC avec cartes de controle.</w:t>
            </w:r>
          </w:p>
        </w:tc>
      </w:tr>
    </w:tbl>
    <w:p>
      <w:pPr>
        <w:spacing w:before="50" w:after="40"/>
      </w:pPr>
    </w:p>
    <w:p>
      <w:pPr>
        <w:spacing w:before="0" w:after="0"/>
      </w:pPr>
      <w:r>
        <w:br w:type="page"/>
      </w: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94"/>
        <w:gridCol w:w="9312"/>
      </w:tblGrid>
      <w:tr>
        <w:trPr>
          <w:tblHeader w:val="false"/>
        </w:trPr>
        <w:tc>
          <w:tcPr>
            <w:tcW w:type="dxa" w:w="594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D7D46" w:color="auto" w:val="clear"/>
            <w:tcMar>
              <w:top w:type="dxa" w:w="50"/>
              <w:left w:type="dxa" w:w="40"/>
              <w:bottom w:type="dxa" w:w="50"/>
              <w:right w:type="dxa" w:w="40"/>
            </w:tcMar>
            <w:vAlign w:val="top"/>
          </w:tcPr>
          <w:p>
            <w:pPr>
              <w:spacing w:before="60" w:after="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PHASE 3</w:t>
            </w:r>
          </w:p>
        </w:tc>
        <w:tc>
          <w:tcPr>
            <w:tcW w:type="dxa" w:w="9312"/>
            <w:tcBorders>
              <w:top w:val="none" w:sz="0" w:space="0" w:color="auto"/>
              <w:left w:val="single" w:color="2D7D46" w:sz="10"/>
              <w:bottom w:val="none" w:sz="0" w:space="0" w:color="auto"/>
              <w:right w:val="none" w:sz="0" w:space="0" w:color="auto"/>
            </w:tcBorders>
            <w:shd w:fill="F4F6F9" w:color="auto" w:val="clear"/>
            <w:tcMar>
              <w:top w:type="dxa" w:w="50"/>
              <w:left w:type="dxa" w:w="140"/>
              <w:bottom w:type="dxa" w:w="50"/>
              <w:right w:type="dxa" w:w="80"/>
            </w:tcMar>
            <w:vAlign w:val="top"/>
          </w:tcPr>
          <w:p>
            <w:pPr>
              <w:spacing w:before="60" w:after="6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D7D46"/>
                <w:sz w:val="20"/>
                <w:szCs w:val="20"/>
              </w:rPr>
              <w:t xml:space="preserve">DEPLOIEMENT DES SOLUTIONS  (Parties 3 et 4)</w:t>
            </w:r>
          </w:p>
        </w:tc>
      </w:tr>
    </w:tbl>
    <w:p>
      <w:pPr>
        <w:spacing w:before="24" w:after="18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79"/>
        <w:gridCol w:w="7727"/>
      </w:tblGrid>
      <w:tr>
        <w:trPr>
          <w:tblHeader w:val="false"/>
        </w:trPr>
        <w:tc>
          <w:tcPr>
            <w:tcW w:type="dxa" w:w="2179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D7D46" w:color="auto" w:val="clear"/>
            <w:tcMar>
              <w:top w:type="dxa" w:w="40"/>
              <w:left w:type="dxa" w:w="60"/>
              <w:bottom w:type="dxa" w:w="40"/>
              <w:right w:type="dxa" w:w="6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ETAPE 4</w:t>
            </w:r>
          </w:p>
        </w:tc>
        <w:tc>
          <w:tcPr>
            <w:tcW w:type="dxa" w:w="7727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3A5C" w:color="auto" w:val="clear"/>
            <w:tcMar>
              <w:top w:type="dxa" w:w="40"/>
              <w:left w:type="dxa" w:w="120"/>
              <w:bottom w:type="dxa" w:w="40"/>
              <w:right w:type="dxa" w:w="80"/>
            </w:tcMar>
            <w:vAlign w:val="top"/>
          </w:tcPr>
          <w:p>
            <w:pPr>
              <w:spacing w:before="50" w:after="5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SMED en zone grise — Reduction de 4h a 45 min  (Chapitre 8)</w:t>
            </w:r>
          </w:p>
        </w:tc>
      </w:tr>
    </w:tbl>
    <w:p>
      <w:pPr>
        <w:spacing w:before="14" w:after="10"/>
      </w:pPr>
    </w:p>
    <w:p>
      <w:pPr>
        <w:spacing w:before="70" w:after="7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1"/>
          <w:szCs w:val="21"/>
        </w:rPr>
        <w:t xml:space="preserve">Le changement de format entre seringues 2ml et 5ml prenait 4 heures en production. L analyse SMED revele que 60% des operations etaient realisees machine a l arret alors qu elles pourraient etre preparees en zone grise (hors salle blanche).</w:t>
      </w:r>
    </w:p>
    <w:p>
      <w:pPr>
        <w:spacing w:before="10" w:after="8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77"/>
        <w:gridCol w:w="2179"/>
        <w:gridCol w:w="2179"/>
        <w:gridCol w:w="3171"/>
      </w:tblGrid>
      <w:tr>
        <w:trPr>
          <w:tblHeader/>
        </w:trPr>
        <w:tc>
          <w:tcPr>
            <w:tcW w:type="dxa" w:w="2377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2D7D46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ACTION SMED</w:t>
            </w:r>
          </w:p>
        </w:tc>
        <w:tc>
          <w:tcPr>
            <w:tcW w:type="dxa" w:w="2179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2D7D46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TYPE</w:t>
            </w:r>
          </w:p>
        </w:tc>
        <w:tc>
          <w:tcPr>
            <w:tcW w:type="dxa" w:w="2179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2D7D46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GAIN</w:t>
            </w:r>
          </w:p>
        </w:tc>
        <w:tc>
          <w:tcPr>
            <w:tcW w:type="dxa" w:w="3171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2D7D46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CONTRAINTE ISO 13485</w:t>
            </w:r>
          </w:p>
        </w:tc>
      </w:tr>
      <w:tr>
        <w:trPr>
          <w:tblHeader w:val="false"/>
        </w:trPr>
        <w:tc>
          <w:tcPr>
            <w:tcW w:type="dxa" w:w="2377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Preparation outillages en zone grise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Interne -&gt; Externe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2h 20 min gagnes</w:t>
            </w:r>
          </w:p>
        </w:tc>
        <w:tc>
          <w:tcPr>
            <w:tcW w:type="dxa" w:w="31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Change Control sur la procedure</w:t>
            </w:r>
          </w:p>
        </w:tc>
      </w:tr>
      <w:tr>
        <w:trPr>
          <w:tblHeader w:val="false"/>
        </w:trPr>
        <w:tc>
          <w:tcPr>
            <w:tcW w:type="dxa" w:w="2377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Standardisation des dimensions outillages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Suppression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45 min gagnes</w:t>
            </w:r>
          </w:p>
        </w:tc>
        <w:tc>
          <w:tcPr>
            <w:tcW w:type="dxa" w:w="31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Validation metrologue</w:t>
            </w:r>
          </w:p>
        </w:tc>
      </w:tr>
      <w:tr>
        <w:trPr>
          <w:tblHeader w:val="false"/>
        </w:trPr>
        <w:tc>
          <w:tcPr>
            <w:tcW w:type="dxa" w:w="2377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Check-list de verification pre-demarrage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Nouveau standard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30 min gagnes</w:t>
            </w:r>
          </w:p>
        </w:tc>
        <w:tc>
          <w:tcPr>
            <w:tcW w:type="dxa" w:w="31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Integree dans SOP qualite</w:t>
            </w:r>
          </w:p>
        </w:tc>
      </w:tr>
      <w:tr>
        <w:trPr>
          <w:tblHeader w:val="false"/>
        </w:trPr>
        <w:tc>
          <w:tcPr>
            <w:tcW w:type="dxa" w:w="2377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Formation operateurs cross-fonctionnels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Competences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15 min gagnes</w:t>
            </w:r>
          </w:p>
        </w:tc>
        <w:tc>
          <w:tcPr>
            <w:tcW w:type="dxa" w:w="31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Plan de formation documente</w:t>
            </w:r>
          </w:p>
        </w:tc>
      </w:tr>
      <w:tr>
        <w:trPr>
          <w:tblHeader w:val="false"/>
        </w:trPr>
        <w:tc>
          <w:tcPr>
            <w:tcW w:type="dxa" w:w="2377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TOTAL : 4h -&gt; 45 min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Reduction 81%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3h15 gagnes</w:t>
            </w:r>
          </w:p>
        </w:tc>
        <w:tc>
          <w:tcPr>
            <w:tcW w:type="dxa" w:w="31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Dossier Change Control complet</w:t>
            </w:r>
          </w:p>
        </w:tc>
      </w:tr>
    </w:tbl>
    <w:p>
      <w:pPr>
        <w:spacing w:before="14" w:after="10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906"/>
      </w:tblGrid>
      <w:tr>
        <w:trPr>
          <w:tblHeader w:val="false"/>
        </w:trPr>
        <w:tc>
          <w:tcPr>
            <w:tcW w:type="dxa" w:w="9906"/>
            <w:tcBorders>
              <w:top w:val="none" w:sz="0" w:space="0" w:color="auto"/>
              <w:left w:val="single" w:color="2C7873" w:sz="10"/>
              <w:bottom w:val="none" w:sz="0" w:space="0" w:color="auto"/>
              <w:right w:val="none" w:sz="0" w:space="0" w:color="auto"/>
            </w:tcBorders>
            <w:shd w:fill="EBF5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5" w:after="55"/>
              <w:jc w:val="both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C7873"/>
                <w:sz w:val="19"/>
                <w:szCs w:val="19"/>
              </w:rPr>
              <w:t xml:space="preserve">CONSEIL :  </w:t>
            </w: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8"/>
                <w:szCs w:val="18"/>
              </w:rPr>
              <w:t xml:space="preserve">En ISO 13485, le dossier Change Control du SMED doit documenter : avant/apres de chaque etape, validation technique et qualite, formation des operateurs, et periode de surveillance post-implementation. Le consultant anticipe ce dossier des la conception du chantier.</w:t>
            </w:r>
          </w:p>
        </w:tc>
      </w:tr>
    </w:tbl>
    <w:p>
      <w:pPr>
        <w:spacing w:before="24" w:after="18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79"/>
        <w:gridCol w:w="7727"/>
      </w:tblGrid>
      <w:tr>
        <w:trPr>
          <w:tblHeader w:val="false"/>
        </w:trPr>
        <w:tc>
          <w:tcPr>
            <w:tcW w:type="dxa" w:w="2179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D7D46" w:color="auto" w:val="clear"/>
            <w:tcMar>
              <w:top w:type="dxa" w:w="40"/>
              <w:left w:type="dxa" w:w="60"/>
              <w:bottom w:type="dxa" w:w="40"/>
              <w:right w:type="dxa" w:w="6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ETAPE 5</w:t>
            </w:r>
          </w:p>
        </w:tc>
        <w:tc>
          <w:tcPr>
            <w:tcW w:type="dxa" w:w="7727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3A5C" w:color="auto" w:val="clear"/>
            <w:tcMar>
              <w:top w:type="dxa" w:w="40"/>
              <w:left w:type="dxa" w:w="120"/>
              <w:bottom w:type="dxa" w:w="40"/>
              <w:right w:type="dxa" w:w="80"/>
            </w:tcMar>
            <w:vAlign w:val="top"/>
          </w:tcPr>
          <w:p>
            <w:pPr>
              <w:spacing w:before="50" w:after="5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DOE et Plan d'Experiences sur le sertissage  (Chapitre DMAIC)</w:t>
            </w:r>
          </w:p>
        </w:tc>
      </w:tr>
    </w:tbl>
    <w:p>
      <w:pPr>
        <w:spacing w:before="14" w:after="10"/>
      </w:pPr>
    </w:p>
    <w:p>
      <w:pPr>
        <w:spacing w:before="70" w:after="7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1"/>
          <w:szCs w:val="21"/>
        </w:rPr>
        <w:t xml:space="preserve">Le Plan d Experiences (DOE - Design of Experiments) identifie la combinaison optimale de parametres pour le sertissage. 2 facteurs principaux sont testes : pression de la pince (5 niveaux) et temperature initiale de la pince (3 niveaux).</w:t>
      </w:r>
    </w:p>
    <w:p>
      <w:pPr>
        <w:spacing w:before="10" w:after="8"/>
      </w:pPr>
    </w:p>
    <w:p>
      <w:pPr>
        <w:spacing w:before="40" w:after="40"/>
        <w:ind w:left="20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0"/>
          <w:szCs w:val="20"/>
        </w:rPr>
        <w:t xml:space="preserve">•  DOE : 5 x 3 = 15 combinaisons testees sur 3 repetitions (45 essais au total)</w:t>
      </w:r>
    </w:p>
    <w:p>
      <w:pPr>
        <w:spacing w:before="40" w:after="40"/>
        <w:ind w:left="20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0"/>
          <w:szCs w:val="20"/>
        </w:rPr>
        <w:t xml:space="preserve">•  Resultat : pression optimale entre 8.2 et 8.6 bar avec temperature pince &gt;= 45°C au demarrage</w:t>
      </w:r>
    </w:p>
    <w:p>
      <w:pPr>
        <w:spacing w:before="40" w:after="40"/>
        <w:ind w:left="20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0"/>
          <w:szCs w:val="20"/>
        </w:rPr>
        <w:t xml:space="preserve">•  Ppk apres optimisation : 1.52 (superieur a l exigence ISO 13485 de 1.33)</w:t>
      </w:r>
    </w:p>
    <w:p>
      <w:pPr>
        <w:spacing w:before="40" w:after="40"/>
        <w:ind w:left="20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0"/>
          <w:szCs w:val="20"/>
        </w:rPr>
        <w:t xml:space="preserve">•  Taux de rebut : 8% -&gt; 1.8% (objectif 2% atteint et depasse)</w:t>
      </w:r>
    </w:p>
    <w:p>
      <w:pPr>
        <w:spacing w:before="24" w:after="18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79"/>
        <w:gridCol w:w="7727"/>
      </w:tblGrid>
      <w:tr>
        <w:trPr>
          <w:tblHeader w:val="false"/>
        </w:trPr>
        <w:tc>
          <w:tcPr>
            <w:tcW w:type="dxa" w:w="2179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D7D46" w:color="auto" w:val="clear"/>
            <w:tcMar>
              <w:top w:type="dxa" w:w="40"/>
              <w:left w:type="dxa" w:w="60"/>
              <w:bottom w:type="dxa" w:w="40"/>
              <w:right w:type="dxa" w:w="6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ETAPE 6</w:t>
            </w:r>
          </w:p>
        </w:tc>
        <w:tc>
          <w:tcPr>
            <w:tcW w:type="dxa" w:w="7727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3A5C" w:color="auto" w:val="clear"/>
            <w:tcMar>
              <w:top w:type="dxa" w:w="40"/>
              <w:left w:type="dxa" w:w="120"/>
              <w:bottom w:type="dxa" w:w="40"/>
              <w:right w:type="dxa" w:w="80"/>
            </w:tcMar>
            <w:vAlign w:val="top"/>
          </w:tcPr>
          <w:p>
            <w:pPr>
              <w:spacing w:before="50" w:after="5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Poka-Yoke : systeme de vision automatique</w:t>
            </w:r>
          </w:p>
        </w:tc>
      </w:tr>
    </w:tbl>
    <w:p>
      <w:pPr>
        <w:spacing w:before="14" w:after="10"/>
      </w:pPr>
    </w:p>
    <w:p>
      <w:pPr>
        <w:spacing w:before="70" w:after="7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1"/>
          <w:szCs w:val="21"/>
        </w:rPr>
        <w:t xml:space="preserve">Pour eliminer tout risque de micro-fissure non detectable a l oeil nu avant emballage final, un systeme de vision par camera est installe. Ce Poka-Yoke ferme la boucle qualite independamment de l operateur.</w:t>
      </w:r>
    </w:p>
    <w:p>
      <w:pPr>
        <w:spacing w:before="10" w:after="8"/>
      </w:pPr>
    </w:p>
    <w:p>
      <w:pPr>
        <w:spacing w:before="40" w:after="40"/>
        <w:ind w:left="20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0"/>
          <w:szCs w:val="20"/>
        </w:rPr>
        <w:t xml:space="preserve">•  Camera de vision : detection et ejection automatique de toute seringue avec micro-fissure</w:t>
      </w:r>
    </w:p>
    <w:p>
      <w:pPr>
        <w:spacing w:before="40" w:after="40"/>
        <w:ind w:left="20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0"/>
          <w:szCs w:val="20"/>
        </w:rPr>
        <w:t xml:space="preserve">•  Precision de detection : 0.1mm (superieure a la limite de detection visuelle operateur)</w:t>
      </w:r>
    </w:p>
    <w:p>
      <w:pPr>
        <w:spacing w:before="40" w:after="40"/>
        <w:ind w:left="20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0"/>
          <w:szCs w:val="20"/>
        </w:rPr>
        <w:t xml:space="preserve">•  Validation IQ/OQ/PQ realisee avant mise en service (exigence ISO 13485 pour equipements critiques)</w:t>
      </w:r>
    </w:p>
    <w:p>
      <w:pPr>
        <w:spacing w:before="40" w:after="40"/>
        <w:ind w:left="20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0"/>
          <w:szCs w:val="20"/>
        </w:rPr>
        <w:t xml:space="preserve">•  Resultat : 0 seringue defectueuse arrivant a l emballage final depuis l installation</w:t>
      </w:r>
    </w:p>
    <w:p>
      <w:pPr>
        <w:spacing w:before="50" w:after="40"/>
      </w:pPr>
    </w:p>
    <w:p>
      <w:pPr>
        <w:spacing w:before="0" w:after="0"/>
      </w:pPr>
      <w:r>
        <w:br w:type="page"/>
      </w: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94"/>
        <w:gridCol w:w="9312"/>
      </w:tblGrid>
      <w:tr>
        <w:trPr>
          <w:tblHeader w:val="false"/>
        </w:trPr>
        <w:tc>
          <w:tcPr>
            <w:tcW w:type="dxa" w:w="594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B45309" w:color="auto" w:val="clear"/>
            <w:tcMar>
              <w:top w:type="dxa" w:w="50"/>
              <w:left w:type="dxa" w:w="40"/>
              <w:bottom w:type="dxa" w:w="50"/>
              <w:right w:type="dxa" w:w="40"/>
            </w:tcMar>
            <w:vAlign w:val="top"/>
          </w:tcPr>
          <w:p>
            <w:pPr>
              <w:spacing w:before="60" w:after="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PHASE 4</w:t>
            </w:r>
          </w:p>
        </w:tc>
        <w:tc>
          <w:tcPr>
            <w:tcW w:type="dxa" w:w="9312"/>
            <w:tcBorders>
              <w:top w:val="none" w:sz="0" w:space="0" w:color="auto"/>
              <w:left w:val="single" w:color="B45309" w:sz="10"/>
              <w:bottom w:val="none" w:sz="0" w:space="0" w:color="auto"/>
              <w:right w:val="none" w:sz="0" w:space="0" w:color="auto"/>
            </w:tcBorders>
            <w:shd w:fill="F4F6F9" w:color="auto" w:val="clear"/>
            <w:tcMar>
              <w:top w:type="dxa" w:w="50"/>
              <w:left w:type="dxa" w:w="140"/>
              <w:bottom w:type="dxa" w:w="50"/>
              <w:right w:type="dxa" w:w="80"/>
            </w:tcMar>
            <w:vAlign w:val="top"/>
          </w:tcPr>
          <w:p>
            <w:pPr>
              <w:spacing w:before="60" w:after="6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B45309"/>
                <w:sz w:val="20"/>
                <w:szCs w:val="20"/>
              </w:rPr>
              <w:t xml:space="preserve">GESTION DE LA MISSION ET POSTURE  (Nouveau Chapitre)</w:t>
            </w:r>
          </w:p>
        </w:tc>
      </w:tr>
    </w:tbl>
    <w:p>
      <w:pPr>
        <w:spacing w:before="24" w:after="18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79"/>
        <w:gridCol w:w="7727"/>
      </w:tblGrid>
      <w:tr>
        <w:trPr>
          <w:tblHeader w:val="false"/>
        </w:trPr>
        <w:tc>
          <w:tcPr>
            <w:tcW w:type="dxa" w:w="2179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B45309" w:color="auto" w:val="clear"/>
            <w:tcMar>
              <w:top w:type="dxa" w:w="40"/>
              <w:left w:type="dxa" w:w="60"/>
              <w:bottom w:type="dxa" w:w="40"/>
              <w:right w:type="dxa" w:w="6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ETAPE 7</w:t>
            </w:r>
          </w:p>
        </w:tc>
        <w:tc>
          <w:tcPr>
            <w:tcW w:type="dxa" w:w="7727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3A5C" w:color="auto" w:val="clear"/>
            <w:tcMar>
              <w:top w:type="dxa" w:w="40"/>
              <w:left w:type="dxa" w:w="120"/>
              <w:bottom w:type="dxa" w:w="40"/>
              <w:right w:type="dxa" w:w="80"/>
            </w:tcMar>
            <w:vAlign w:val="top"/>
          </w:tcPr>
          <w:p>
            <w:pPr>
              <w:spacing w:before="50" w:after="5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Gestion du Scope Creep et technique Out of the Box</w:t>
            </w:r>
          </w:p>
        </w:tc>
      </w:tr>
    </w:tbl>
    <w:p>
      <w:pPr>
        <w:spacing w:before="14" w:after="10"/>
      </w:pPr>
    </w:p>
    <w:p>
      <w:pPr>
        <w:spacing w:before="70" w:after="7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1"/>
          <w:szCs w:val="21"/>
        </w:rPr>
        <w:t xml:space="preserve">Trois semaines apres le demarrage, la Responsable Qualite demande d inclure les lignes de cathéters dans le projet. La logique est comprehensible (meme salle blanche, memes equipes), mais dangereuse pour le projet.</w:t>
      </w:r>
    </w:p>
    <w:p>
      <w:pPr>
        <w:spacing w:before="10" w:after="8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906"/>
      </w:tblGrid>
      <w:tr>
        <w:trPr>
          <w:tblHeader w:val="false"/>
        </w:trPr>
        <w:tc>
          <w:tcPr>
            <w:tcW w:type="dxa" w:w="9906"/>
            <w:tcBorders>
              <w:top w:val="none" w:sz="0" w:space="0" w:color="auto"/>
              <w:left w:val="single" w:color="B45309" w:sz="10"/>
              <w:bottom w:val="none" w:sz="0" w:space="0" w:color="auto"/>
              <w:right w:val="none" w:sz="0" w:space="0" w:color="auto"/>
            </w:tcBorders>
            <w:shd w:fill="FFF8EB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5" w:after="55"/>
              <w:jc w:val="both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B45309"/>
                <w:sz w:val="19"/>
                <w:szCs w:val="19"/>
              </w:rPr>
              <w:t xml:space="preserve">PIEGE EVITE :  </w:t>
            </w: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8"/>
                <w:szCs w:val="18"/>
              </w:rPr>
              <w:t xml:space="preserve">Piege du Scope Creep : ajouter les cathéters aurait dilue les ressources, brouille les indicateurs de succes et risque de manquer les objectifs initiaux. Regles d or : (1) tout ajout de perimetre doit etre arbitre par le Sponsor avec impact budget et planning, (2) stabiliser avant d etendre, (3) le succes sur les seringues est le meilleur argument pour une nouvelle mission catheters.</w:t>
            </w:r>
          </w:p>
        </w:tc>
      </w:tr>
    </w:tbl>
    <w:p>
      <w:pPr>
        <w:spacing w:before="14" w:after="10"/>
      </w:pPr>
    </w:p>
    <w:p>
      <w:pPr>
        <w:spacing w:before="70" w:after="7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1"/>
          <w:szCs w:val="21"/>
        </w:rPr>
        <w:t xml:space="preserve">Technique Out of the Box pour la sensibilisation aux flux en salle blanche : au lieu d un PowerPoint sur la contamination croisee, le consultant organise une session de Pensee Inversee avec les equipes.</w:t>
      </w:r>
    </w:p>
    <w:p>
      <w:pPr>
        <w:spacing w:before="10" w:after="8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906"/>
      </w:tblGrid>
      <w:tr>
        <w:trPr>
          <w:tblHeader w:val="false"/>
        </w:trPr>
        <w:tc>
          <w:tcPr>
            <w:tcW w:type="dxa" w:w="9906"/>
            <w:tcBorders>
              <w:top w:val="none" w:sz="0" w:space="0" w:color="auto"/>
              <w:left w:val="single" w:color="B45309" w:sz="14"/>
              <w:bottom w:val="none" w:sz="0" w:space="0" w:color="auto"/>
              <w:right w:val="none" w:sz="0" w:space="0" w:color="auto"/>
            </w:tcBorders>
            <w:shd w:fill="FFF8EB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pBdr>
                <w:top w:val="none" w:color="FFFFFF" w:sz="0"/>
                <w:left w:val="none" w:color="FFFFFF" w:sz="0"/>
                <w:bottom w:val="single" w:color="B45309" w:sz="4"/>
                <w:right w:val="none" w:color="FFFFFF" w:sz="0"/>
              </w:pBdr>
              <w:spacing w:before="55" w:after="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B45309"/>
                <w:sz w:val="20"/>
                <w:szCs w:val="20"/>
              </w:rPr>
              <w:t xml:space="preserve">TECHNIQUE : LA PENSEE INVERSEE (OUT OF THE BOX)</w:t>
            </w:r>
          </w:p>
          <w:p>
            <w:pPr>
              <w:spacing w:before="30" w:after="55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9"/>
                <w:szCs w:val="19"/>
              </w:rPr>
              <w:t xml:space="preserve">Question posee aux equipes : Comment pourrait-on transformer la salle blanche en zone de contamination systematique ? Cette inversion permet aux operateurs de realiser d eux-memes que certains comportements de flux matieres sont risques. Les solutions emergent du terrain, elles sont mieux acceptees et plus durables. En moins de 30 minutes, 8 pratiques a risque sont identifiees et eliminees sans qu aucun consultant n ait eu besoin d imposer quoi que ce soit.</w:t>
            </w:r>
          </w:p>
        </w:tc>
      </w:tr>
    </w:tbl>
    <w:p>
      <w:pPr>
        <w:spacing w:before="50" w:after="40"/>
      </w:pPr>
    </w:p>
    <w:p>
      <w:pPr>
        <w:spacing w:before="0" w:after="0"/>
      </w:pPr>
      <w:r>
        <w:br w:type="page"/>
      </w: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94"/>
        <w:gridCol w:w="9312"/>
      </w:tblGrid>
      <w:tr>
        <w:trPr>
          <w:tblHeader w:val="false"/>
        </w:trPr>
        <w:tc>
          <w:tcPr>
            <w:tcW w:type="dxa" w:w="594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C7873" w:color="auto" w:val="clear"/>
            <w:tcMar>
              <w:top w:type="dxa" w:w="50"/>
              <w:left w:type="dxa" w:w="40"/>
              <w:bottom w:type="dxa" w:w="50"/>
              <w:right w:type="dxa" w:w="40"/>
            </w:tcMar>
            <w:vAlign w:val="top"/>
          </w:tcPr>
          <w:p>
            <w:pPr>
              <w:spacing w:before="60" w:after="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PHASE 5</w:t>
            </w:r>
          </w:p>
        </w:tc>
        <w:tc>
          <w:tcPr>
            <w:tcW w:type="dxa" w:w="9312"/>
            <w:tcBorders>
              <w:top w:val="none" w:sz="0" w:space="0" w:color="auto"/>
              <w:left w:val="single" w:color="2C7873" w:sz="10"/>
              <w:bottom w:val="none" w:sz="0" w:space="0" w:color="auto"/>
              <w:right w:val="none" w:sz="0" w:space="0" w:color="auto"/>
            </w:tcBorders>
            <w:shd w:fill="F4F6F9" w:color="auto" w:val="clear"/>
            <w:tcMar>
              <w:top w:type="dxa" w:w="50"/>
              <w:left w:type="dxa" w:w="140"/>
              <w:bottom w:type="dxa" w:w="50"/>
              <w:right w:type="dxa" w:w="80"/>
            </w:tcMar>
            <w:vAlign w:val="top"/>
          </w:tcPr>
          <w:p>
            <w:pPr>
              <w:spacing w:before="60" w:after="6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C7873"/>
                <w:sz w:val="20"/>
                <w:szCs w:val="20"/>
              </w:rPr>
              <w:t xml:space="preserve">PERENNISATION ET RESULTATS FINAUX  (Partie Finale)</w:t>
            </w:r>
          </w:p>
        </w:tc>
      </w:tr>
    </w:tbl>
    <w:p>
      <w:pPr>
        <w:spacing w:before="24" w:after="18"/>
      </w:pPr>
    </w:p>
    <w:p>
      <w:pPr>
        <w:spacing w:before="70" w:after="7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1"/>
          <w:szCs w:val="21"/>
        </w:rPr>
        <w:t xml:space="preserve">La perennisation en ISO 13485 va au-dela des standards habituels. Chaque procedure devient un document qualite dans le systeme documentaire de l entreprise.</w:t>
      </w:r>
    </w:p>
    <w:p>
      <w:pPr>
        <w:spacing w:before="14" w:after="10"/>
      </w:pPr>
    </w:p>
    <w:p>
      <w:pPr>
        <w:spacing w:before="40" w:after="40"/>
        <w:ind w:left="20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0"/>
          <w:szCs w:val="20"/>
        </w:rPr>
        <w:t xml:space="preserve">•  SOP SMED integrees dans le systeme qualite ISO 13485 avec numero de document et control de version</w:t>
      </w:r>
    </w:p>
    <w:p>
      <w:pPr>
        <w:spacing w:before="40" w:after="40"/>
        <w:ind w:left="20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0"/>
          <w:szCs w:val="20"/>
        </w:rPr>
        <w:t xml:space="preserve">•  AIC (Animation Intervalle Court) : tableaux de bord a l entree de la salle blanche, mis a jour heure par heure</w:t>
      </w:r>
    </w:p>
    <w:p>
      <w:pPr>
        <w:spacing w:before="40" w:after="40"/>
        <w:ind w:left="20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0"/>
          <w:szCs w:val="20"/>
        </w:rPr>
        <w:t xml:space="preserve">•  Management Visuel : TRS, taux de rebut, Ppk en temps reel sur ecrans en zone habillage</w:t>
      </w:r>
    </w:p>
    <w:p>
      <w:pPr>
        <w:spacing w:before="40" w:after="40"/>
        <w:ind w:left="20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0"/>
          <w:szCs w:val="20"/>
        </w:rPr>
        <w:t xml:space="preserve">•  Formation Train the Trainer : 2 operateurs certifies referents internes pour la methode SMED</w:t>
      </w:r>
    </w:p>
    <w:p>
      <w:pPr>
        <w:spacing w:before="14" w:after="10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906"/>
      </w:tblGrid>
      <w:tr>
        <w:trPr>
          <w:tblHeader w:val="false"/>
        </w:trPr>
        <w:tc>
          <w:tcPr>
            <w:tcW w:type="dxa" w:w="9906"/>
            <w:tcBorders>
              <w:top w:val="none" w:sz="0" w:space="0" w:color="auto"/>
              <w:left w:val="single" w:color="2D7D46" w:sz="10"/>
              <w:bottom w:val="none" w:sz="0" w:space="0" w:color="auto"/>
              <w:right w:val="none" w:sz="0" w:space="0" w:color="auto"/>
            </w:tcBorders>
            <w:shd w:fill="EBF5EB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5" w:after="55"/>
              <w:jc w:val="both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D7D46"/>
                <w:sz w:val="19"/>
                <w:szCs w:val="19"/>
              </w:rPr>
              <w:t xml:space="preserve">RESULTAT :  </w:t>
            </w: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8"/>
                <w:szCs w:val="18"/>
              </w:rPr>
              <w:t xml:space="preserve">TRS monte a 81% (objectif : 78%). Gain financier valide CDG : 450 000 euros/an. Taux de rebut : 1.8% (objectif : 2%). Ppk sertissage : 1.52 (minimum ISO 13485 : 1.33). Le client signe une nouvelle mission sur le second site de production.</w:t>
            </w:r>
          </w:p>
        </w:tc>
      </w:tr>
    </w:tbl>
    <w:p>
      <w:pPr>
        <w:spacing w:before="50" w:after="40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906"/>
      </w:tblGrid>
      <w:tr>
        <w:trPr>
          <w:tblHeader w:val="false"/>
        </w:trPr>
        <w:tc>
          <w:tcPr>
            <w:tcW w:type="dxa" w:w="990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0D1B2A" w:color="auto" w:val="clear"/>
            <w:tcMar>
              <w:top w:type="dxa" w:w="55"/>
              <w:left w:type="dxa" w:w="140"/>
              <w:bottom w:type="dxa" w:w="55"/>
              <w:right w:type="dxa" w:w="100"/>
            </w:tcMar>
            <w:vAlign w:val="top"/>
          </w:tcPr>
          <w:p>
            <w:pPr>
              <w:spacing w:before="65" w:after="65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1"/>
                <w:szCs w:val="21"/>
              </w:rPr>
              <w:t xml:space="preserve">  TABLEAU RECAPITULATIF — OUTILS ET CHAPITRES</w:t>
            </w:r>
          </w:p>
        </w:tc>
      </w:tr>
    </w:tbl>
    <w:p>
      <w:pPr>
        <w:spacing w:before="14" w:after="10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783"/>
        <w:gridCol w:w="2179"/>
        <w:gridCol w:w="2773"/>
        <w:gridCol w:w="3171"/>
      </w:tblGrid>
      <w:tr>
        <w:trPr>
          <w:tblHeader/>
        </w:trPr>
        <w:tc>
          <w:tcPr>
            <w:tcW w:type="dxa" w:w="1783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0D1B2A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PHASE</w:t>
            </w:r>
          </w:p>
        </w:tc>
        <w:tc>
          <w:tcPr>
            <w:tcW w:type="dxa" w:w="2179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0D1B2A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ACTION CLE</w:t>
            </w:r>
          </w:p>
        </w:tc>
        <w:tc>
          <w:tcPr>
            <w:tcW w:type="dxa" w:w="2773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0D1B2A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OUTIL UTILISE</w:t>
            </w:r>
          </w:p>
        </w:tc>
        <w:tc>
          <w:tcPr>
            <w:tcW w:type="dxa" w:w="3171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0D1B2A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CHAPITRE</w:t>
            </w:r>
          </w:p>
        </w:tc>
      </w:tr>
      <w:tr>
        <w:trPr>
          <w:tblHeader w:val="false"/>
        </w:trPr>
        <w:tc>
          <w:tcPr>
            <w:tcW w:type="dxa" w:w="178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Cadrage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Diagnostic Flash — reformulation besoin reel</w:t>
            </w:r>
          </w:p>
        </w:tc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Questionnaire Cadrage Client (Outil 1.1)</w:t>
            </w:r>
          </w:p>
        </w:tc>
        <w:tc>
          <w:tcPr>
            <w:tcW w:type="dxa" w:w="31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Chap. 1</w:t>
            </w:r>
          </w:p>
        </w:tc>
      </w:tr>
      <w:tr>
        <w:trPr>
          <w:tblHeader w:val="false"/>
        </w:trPr>
        <w:tc>
          <w:tcPr>
            <w:tcW w:type="dxa" w:w="178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Contrat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Project Charter avec contraintes ISO 13485</w:t>
            </w:r>
          </w:p>
        </w:tc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Template Project Charter</w:t>
            </w:r>
          </w:p>
        </w:tc>
        <w:tc>
          <w:tcPr>
            <w:tcW w:type="dxa" w:w="31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Chap. 2</w:t>
            </w:r>
          </w:p>
        </w:tc>
      </w:tr>
      <w:tr>
        <w:trPr>
          <w:tblHeader w:val="false"/>
        </w:trPr>
        <w:tc>
          <w:tcPr>
            <w:tcW w:type="dxa" w:w="178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Diagnostic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VSM + identification du vrai goulot</w:t>
            </w:r>
          </w:p>
        </w:tc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VSM - Cartographie flux (Outil 4.1)</w:t>
            </w:r>
          </w:p>
        </w:tc>
        <w:tc>
          <w:tcPr>
            <w:tcW w:type="dxa" w:w="31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Chap. 4</w:t>
            </w:r>
          </w:p>
        </w:tc>
      </w:tr>
      <w:tr>
        <w:trPr>
          <w:tblHeader w:val="false"/>
        </w:trPr>
        <w:tc>
          <w:tcPr>
            <w:tcW w:type="dxa" w:w="178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Analyse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Capabilite Ppk + Ishikawa sertissage</w:t>
            </w:r>
          </w:p>
        </w:tc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Analyse capabilite DMAIC (Chap. 5 et 6)</w:t>
            </w:r>
          </w:p>
        </w:tc>
        <w:tc>
          <w:tcPr>
            <w:tcW w:type="dxa" w:w="31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Chap. 5-6</w:t>
            </w:r>
          </w:p>
        </w:tc>
      </w:tr>
      <w:tr>
        <w:trPr>
          <w:tblHeader w:val="false"/>
        </w:trPr>
        <w:tc>
          <w:tcPr>
            <w:tcW w:type="dxa" w:w="178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SMED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Reduction 4h -&gt; 45 min changement format</w:t>
            </w:r>
          </w:p>
        </w:tc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Fiche chronometrage SMED + Change Control</w:t>
            </w:r>
          </w:p>
        </w:tc>
        <w:tc>
          <w:tcPr>
            <w:tcW w:type="dxa" w:w="31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Chap. 8</w:t>
            </w:r>
          </w:p>
        </w:tc>
      </w:tr>
      <w:tr>
        <w:trPr>
          <w:tblHeader w:val="false"/>
        </w:trPr>
        <w:tc>
          <w:tcPr>
            <w:tcW w:type="dxa" w:w="178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Six Sigma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DOE sur pression et temperature sertissage</w:t>
            </w:r>
          </w:p>
        </w:tc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Plan d Experiences DOE (Outil DMAIC)</w:t>
            </w:r>
          </w:p>
        </w:tc>
        <w:tc>
          <w:tcPr>
            <w:tcW w:type="dxa" w:w="31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Chap. 10</w:t>
            </w:r>
          </w:p>
        </w:tc>
      </w:tr>
      <w:tr>
        <w:trPr>
          <w:tblHeader w:val="false"/>
        </w:trPr>
        <w:tc>
          <w:tcPr>
            <w:tcW w:type="dxa" w:w="178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Poka-Yoke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Vision automatique seringues defectueuses</w:t>
            </w:r>
          </w:p>
        </w:tc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Outil anti-erreur (Poka-Yoke)</w:t>
            </w:r>
          </w:p>
        </w:tc>
        <w:tc>
          <w:tcPr>
            <w:tcW w:type="dxa" w:w="31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Chap. 9</w:t>
            </w:r>
          </w:p>
        </w:tc>
      </w:tr>
      <w:tr>
        <w:trPr>
          <w:tblHeader w:val="false"/>
        </w:trPr>
        <w:tc>
          <w:tcPr>
            <w:tcW w:type="dxa" w:w="178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Posture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Refus Scope Creep + Pensee Inversee</w:t>
            </w:r>
          </w:p>
        </w:tc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Gestion perimetre + techniques OoB</w:t>
            </w:r>
          </w:p>
        </w:tc>
        <w:tc>
          <w:tcPr>
            <w:tcW w:type="dxa" w:w="31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Chap. 17</w:t>
            </w:r>
          </w:p>
        </w:tc>
      </w:tr>
      <w:tr>
        <w:trPr>
          <w:tblHeader w:val="false"/>
        </w:trPr>
        <w:tc>
          <w:tcPr>
            <w:tcW w:type="dxa" w:w="178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Perennisation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SOP dans systeme qualite + AIC</w:t>
            </w:r>
          </w:p>
        </w:tc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Standards + Management Visuel</w:t>
            </w:r>
          </w:p>
        </w:tc>
        <w:tc>
          <w:tcPr>
            <w:tcW w:type="dxa" w:w="31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Chap. 12</w:t>
            </w:r>
          </w:p>
        </w:tc>
      </w:tr>
    </w:tbl>
    <w:p>
      <w:pPr>
        <w:spacing w:before="50" w:after="40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906"/>
      </w:tblGrid>
      <w:tr>
        <w:trPr>
          <w:tblHeader w:val="false"/>
        </w:trPr>
        <w:tc>
          <w:tcPr>
            <w:tcW w:type="dxa" w:w="9906"/>
            <w:tcBorders>
              <w:top w:val="none" w:sz="0" w:space="0" w:color="auto"/>
              <w:left w:val="single" w:color="C8963E" w:sz="12"/>
              <w:bottom w:val="none" w:sz="0" w:space="0" w:color="auto"/>
              <w:right w:val="none" w:sz="0" w:space="0" w:color="auto"/>
            </w:tcBorders>
            <w:shd w:fill="F8F4EE" w:color="auto" w:val="clear"/>
            <w:tcMar>
              <w:top w:type="dxa" w:w="50"/>
              <w:left w:type="dxa" w:w="140"/>
              <w:bottom w:type="dxa" w:w="50"/>
              <w:right w:type="dxa" w:w="100"/>
            </w:tcMar>
            <w:vAlign w:val="top"/>
          </w:tcPr>
          <w:p>
            <w:pPr>
              <w:pBdr>
                <w:top w:val="none" w:color="FFFFFF" w:sz="0"/>
                <w:left w:val="none" w:color="FFFFFF" w:sz="0"/>
                <w:bottom w:val="single" w:color="C8963E" w:sz="4"/>
                <w:right w:val="none" w:color="FFFFFF" w:sz="0"/>
              </w:pBdr>
              <w:spacing w:before="50" w:after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8963E"/>
                <w:sz w:val="20"/>
                <w:szCs w:val="20"/>
              </w:rPr>
              <w:t xml:space="preserve">CONCLUSION DE L'ETUDE DE CAS</w:t>
            </w:r>
          </w:p>
          <w:p>
            <w:pPr>
              <w:spacing w:before="30" w:after="5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9"/>
                <w:szCs w:val="19"/>
              </w:rPr>
              <w:t xml:space="preserve">La mission NEODROP demontre que les methodologies Lean Six Sigma sont pleinement applicables dans les environnements reglementaires ISO 13485, a condition d integrer les contraintes qualite des la conception du plan d action. La cle : ne jamais traiter la conformite comme un obstacle, mais comme une discipline qui renforce la durabilite des ameliorations. Le consultant qui maitrise les deux dimensions (performance + conformite) est irreplacable dans ce secteur.</w:t>
            </w:r>
          </w:p>
        </w:tc>
      </w:tr>
    </w:tbl>
    <w:sectPr>
      <w:headerReference w:type="default" r:id="rId6"/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1D9E6" w:sz="4"/>
      </w:pBdr>
      <w:jc w:val="center"/>
    </w:pPr>
    <w:r>
      <w:rPr>
        <w:rFonts w:ascii="Calibri" w:cs="Calibri" w:eastAsia="Calibri" w:hAnsi="Calibri"/>
        <w:b w:val="false"/>
        <w:bCs w:val="false"/>
        <w:i/>
        <w:iCs/>
        <w:color w:val="888888"/>
        <w:sz w:val="13"/>
        <w:szCs w:val="13"/>
      </w:rPr>
      <w:t xml:space="preserve">Manuel Pratique du Consultant en Excellence Operationnelle  |  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8963E" w:sz="4"/>
      </w:pBdr>
      <w:tabs>
        <w:tab w:val="right" w:pos="9026"/>
      </w:tabs>
      <w:jc w:val="right"/>
    </w:pPr>
    <w:r>
      <w:rPr>
        <w:rFonts w:ascii="Calibri" w:cs="Calibri" w:eastAsia="Calibri" w:hAnsi="Calibri"/>
        <w:b w:val="false"/>
        <w:bCs w:val="false"/>
        <w:i w:val="false"/>
        <w:iCs w:val="false"/>
        <w:color w:val="888888"/>
        <w:sz w:val="14"/>
        <w:szCs w:val="14"/>
      </w:rPr>
      <w:t xml:space="preserve">ETUDE DE CAS N°2 — PROJET NEODROP — Manuel du Consultant en Excellence Operationnelle</w:t>
    </w:r>
    <w:r>
      <w:rPr>
        <w:rFonts w:ascii="Calibri" w:cs="Calibri" w:eastAsia="Calibri" w:hAnsi="Calibri"/>
      </w:rPr>
      <w:t xml:space="preserve">	</w:t>
    </w:r>
    <w:r>
      <w:rPr>
        <w:rFonts w:ascii="Calibri" w:cs="Calibri" w:eastAsia="Calibri" w:hAnsi="Calibri"/>
        <w:b/>
        <w:bCs/>
        <w:i w:val="false"/>
        <w:iCs w:val="false"/>
        <w:color w:val="C8963E"/>
        <w:sz w:val="14"/>
        <w:szCs w:val="14"/>
      </w:rPr>
      <w:t xml:space="preserve">SMED + DMAIC ISO 13485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4A5568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2026-03-30T08:36:45.331Z</dcterms:created>
  <dcterms:modified xsi:type="dcterms:W3CDTF">2026-03-30T08:36:45.332Z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